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32"/>
          <w:szCs w:val="32"/>
          <w:highlight w:val="none"/>
        </w:rPr>
      </w:pPr>
      <w:r>
        <w:rPr>
          <w:rFonts w:ascii="Times New Roman" w:hAnsi="Times New Roman" w:cs="Times New Roman"/>
          <w:sz w:val="32"/>
        </w:rPr>
        <w:t xml:space="preserve">Меры поддержи, </w:t>
      </w:r>
      <w:r>
        <w:rPr>
          <w:rFonts w:ascii="Times New Roman" w:hAnsi="Times New Roman" w:cs="Times New Roman"/>
          <w:sz w:val="32"/>
        </w:rPr>
        <w:t xml:space="preserve">установленные в Ханты-Мансийском автономном округе – Югре </w:t>
        <w:br/>
        <w:t xml:space="preserve">участникам специальной военной операции </w:t>
      </w:r>
      <w:r>
        <w:rPr>
          <w:rFonts w:ascii="Times New Roman" w:hAnsi="Times New Roman" w:cs="Times New Roman"/>
          <w:sz w:val="32"/>
        </w:rPr>
        <w:t xml:space="preserve">и членам их семей</w:t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sz w:val="32"/>
          <w:szCs w:val="32"/>
          <w:highlight w:val="none"/>
        </w:rPr>
      </w:pPr>
      <w:r>
        <w:rPr>
          <w:rFonts w:ascii="Times New Roman" w:hAnsi="Times New Roman" w:cs="Times New Roman"/>
          <w:sz w:val="32"/>
          <w:highlight w:val="none"/>
        </w:rPr>
        <w:t xml:space="preserve">(с перечнем мер поддержки можно ознакомиться по ссылке: </w:t>
      </w:r>
      <w:r>
        <w:rPr>
          <w:rFonts w:ascii="Times New Roman" w:hAnsi="Times New Roman" w:cs="Times New Roman"/>
          <w:b/>
          <w:bCs/>
          <w:sz w:val="32"/>
          <w:highlight w:val="none"/>
        </w:rPr>
        <w:t xml:space="preserve">svo.admhmao.ru</w:t>
      </w:r>
      <w:r>
        <w:rPr>
          <w:rFonts w:ascii="Times New Roman" w:hAnsi="Times New Roman" w:cs="Times New Roman"/>
          <w:sz w:val="32"/>
          <w:highlight w:val="none"/>
        </w:rPr>
        <w:t xml:space="preserve">)</w:t>
      </w:r>
      <w:r>
        <w:rPr>
          <w:rFonts w:ascii="Times New Roman" w:hAnsi="Times New Roman" w:cs="Times New Roman"/>
          <w:sz w:val="32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sz w:val="32"/>
          <w:szCs w:val="32"/>
          <w:highlight w:val="none"/>
        </w:rPr>
      </w:pPr>
      <w:r>
        <w:rPr>
          <w:rFonts w:ascii="Times New Roman" w:hAnsi="Times New Roman" w:cs="Times New Roman"/>
          <w:sz w:val="32"/>
          <w:highlight w:val="none"/>
        </w:rPr>
      </w:r>
      <w:r>
        <w:rPr>
          <w:rFonts w:ascii="Times New Roman" w:hAnsi="Times New Roman" w:cs="Times New Roman"/>
          <w:sz w:val="32"/>
          <w:highlight w:val="none"/>
        </w:rPr>
      </w:r>
      <w:r/>
    </w:p>
    <w:tbl>
      <w:tblPr>
        <w:tblStyle w:val="859"/>
        <w:tblW w:w="0" w:type="auto"/>
        <w:tblLayout w:type="fixed"/>
        <w:tblLook w:val="04A0" w:firstRow="1" w:lastRow="0" w:firstColumn="1" w:lastColumn="0" w:noHBand="0" w:noVBand="1"/>
      </w:tblPr>
      <w:tblGrid>
        <w:gridCol w:w="11622"/>
        <w:gridCol w:w="2976"/>
      </w:tblGrid>
      <w:tr>
        <w:trPr/>
        <w:tc>
          <w:tcPr>
            <w:tcW w:w="1162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</w:rPr>
              <w:t xml:space="preserve">Наименование меры поддержки</w:t>
            </w:r>
            <w:r>
              <w:rPr>
                <w:b/>
                <w:bCs/>
              </w:rPr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</w:rPr>
              <w:t xml:space="preserve">Размер меры поддержки</w:t>
            </w:r>
            <w:r>
              <w:rPr>
                <w:b/>
                <w:bCs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гражданам: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/>
          </w:p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/>
          </w:p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1) заключившим с 24.02.2022 с Министерс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твом обороны Российской Федерации (через военный комиссариат Ханты-Мансийского автономного округа – Югры, пункт отбора на военную службу по контракту 3 разряда, г. Ханты-Мансийск) контракт о прохождении военной службы для участия в выполнении задач в ходе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специальной военной операции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(далее – контракт);</w:t>
            </w:r>
            <w:r/>
          </w:p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2) призванным на военную службу по частичной мобилизации в Вооруженные Силы Российской Федерации;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/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  <w:t xml:space="preserve">3)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заключившим контракт о добровольном содействии в выполнении задач, возложенных на Вооруженные Силы Российской Федерации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400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выплата гражданам, заключившим контракт в период после 31.07.2024 по 31.12.2025, выбравшим получение денежной выплаты взамен денежных выплат в размере 400 000 рублей и 150 000 рублей (в первые 12 месяцев прохождения военной службы)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1 300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выплата гражданам, заключившим контракт в период после 30.09.2024 по 31.12.2025, выбравшим получение денежной выплаты взамен денежных выплат в размере 400 000 рублей и 150 000 рублей (в первые 24 месяца прохождения военной службы)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2 200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каждый первый месяц двухмесячного периода прохождения военной службы по контракту для выполнения задач специальной военной операции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150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гражданам, принимающим (принимавшим) участие в специальной военной операции и являющихся военнослужащими и сотрудниками федеральны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х органов исполнительной власти и федеральных государственных органов, в которых федеральным законом предусмотрена военная служба, сотрудниками органов внутренних дел Российской Федерации при направлении для выполнения служебно-боевых задач в зоне проведен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ия специальной военной операции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400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гражданам при увольнении с военной службы, окончании срока действия контракта о добровольном содействии, окончании периода частичной мобилизации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Единовременная денежная выплата при получении ранения (контузии, травмы, увечья) при выполнении задач в ходе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специальной военной операции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500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Компенсация расходов на оплату жилого помещения и коммунальных услуг семьям граждан Российской Федерации, принимающих участие в специальной военной операции, граждан Российской Федерации, призванных 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 военную службу по частичной мобилизации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50% (от тарифа и норматива потребления, но не более 5 000 руб. в месяц)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на детей, в отношении которых осуществляется уплата алиментных обязательств мобилизованными гражданами, ежемесячно в период прохождения ими военной службы, но не более 12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месяцев в размере 2 040 рублей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24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480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(в год)</w:t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при награждении наградами, входящими в государственную наградную систему Российской Федерации, в ходе участия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специальной военной операции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highlight w:val="none"/>
              </w:rPr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Оплата газификации жилых помещений гражданам Российской Федерации, принимающим участие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специальной военной операции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и их семьям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 размере планируемых или понесенных расходов, но не более 120 000 рублей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Компенсация на оплату стоимости проезда от места жительства (пребывания) на территории Российской Федерации, иностранного государства к месту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поступления в автономном округе на военную службу по контракту в Вооруженные Силы Российской Федерации гражданам, прибывшим с 1 января 2023 года в автономный округ для поступления на воен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ную службу по контракту в Вооруженные Силы Российской Федерации (через Военный комиссариат автономного округа, пункт отбора на военную службу по контракту 3 разряда, г. Ханты-Мансийск) и направленным для выполнения задач в ходе специальной военной операции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фактически понесенные расходы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Денежная выплата семьям, имеющим детей, поступающих на обучение по образовательным программам среднего профессионального образования, высшего образования (программам бакалавриата и программам специалитета), один из родителей которых или оба принимают (прин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имали) участие в специальной военной операции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100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Материальная помощь на проезд от места прохождения военной службы, пребывания в добровольческом формировании, к месту использования отпуска (отдыха) в автономном округе и обратно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25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Материальная помощь членам семей мобилизованных граждан (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супруга (супруг), состоящая (состоящий) в зарегистрированном браке с мобилизованным гражданином, ребенок (дети), не достигший возраста 18 лет или старше этого возраста, если он стал инвалидом до достижения им возраста 18 лет, а также ребенок (дети), обучаю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щийся в образовательной организации по очной форме обучения, но не старше 23 лет)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 проезд от места жительства (пребывания) в автономном округе к месту использования отпуска мобилизованным гражданином и обратно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25</w:t>
            </w:r>
            <w:r>
              <w:rPr>
                <w:rFonts w:ascii="Times New Roman" w:hAnsi="Times New Roman" w:cs="Times New Roman"/>
                <w:sz w:val="28"/>
              </w:rPr>
              <w:t xml:space="preserve"> </w:t>
            </w:r>
            <w:r>
              <w:rPr>
                <w:rFonts w:ascii="Times New Roman" w:hAnsi="Times New Roman" w:cs="Times New Roman"/>
                <w:sz w:val="28"/>
              </w:rPr>
              <w:t xml:space="preserve">000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рублей</w:t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</w:r>
            <w:r>
              <w:rPr>
                <w:rFonts w:ascii="Times New Roman" w:hAnsi="Times New Roman" w:cs="Times New Roman"/>
                <w:sz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Предоставление социальных услуг в форме социального обслуживания на дому и в полустационарной форме социального обслуживания бесплатно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услуга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Комплексное сопровождение в автономном округе граждан Российской Федерации, заключивших с Министерством обороны Российской Федерации контракт о прохождении военной службы или в добровольном порядке договор для выполнения задач в ходе специальной военной оп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ерации, призванных на военную службу по частичной мобилизации в Вооруженные Силы Российской Федерации, ветеранов боевых действий, лиц, проходящих службу в войсках национальной гвардии Российской Федерации и имеющих специальное звание полиции, принимающих 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частие в специальной военной операции, получивших ранения (контузии, травмы, увечья), и членов их семей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14:ligatures w14:val="none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сопровождение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Первичная медико-санитарная и специализированная медицинская помощь, в том числе высокотехнологичная медицинская помощь, санаторно-курортное лечение и медицинская реабилитация граждан, имеющих медицинские показания и проживающих в автономном округе, направ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ленных для обеспечения выполнения задач в ходе специальной военной операции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услуга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Организация профессионального обучения и дополнительного профессионального образования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гражданам Российской Федерации, завершившим участие в специальной военной операции, и членам семей участников специальной военной операции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услуга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Освобождение от начисления пеней в случае несвоевременного и (или) неполного внесения платы за жилое помещение и коммунальные услуги, взноса на капитальный ремонт общего имущества в многоквартирном доме, установленных жилищным законодательством Российской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Федерации, в отношении жилых помещений, расположенных на территории автономного округа, военнослужащих и членов их семей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Получение бесплатной юридической помощи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услуга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Освобождение от уплаты налога за автомобили легковые независимо от мощности двигателя, мотоциклы и мотороллеры независимо от мощности двигателя, снегоходы и мотосани с мощностью двигателя до 50 лошадиных сил включительно, моторные лодки с мощностью двигате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ля до 50 лошадиных сил включительно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Отсрочка внесения платы по договорам аренды государственного имущества автономного округа (за исключением жилых помещений жилищного фонда автономного округа, переданных во временное владение и пользование по договорам аренды (найма)) и (или) земельных учас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тков, находящихся в государственной собственности автономного округа, или государственная собственность на которые не разграничена (далее - договор аренды), начисленной за период прохождения гражданами, принимающими (принявшими) участие в специальной военн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ой операции, военной службы или оказания ими добровольного содействия в выполнении задач, возложенных на Вооруженные Силы Российской Федерации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14:ligatures w14:val="none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Возможность расторжения договора аренды или односторонний отказ от исполнения указанного договора без применения штрафных санкций, за исключением договоров аренды земельных участков, на которых расположены объекты недвижимого имущества, не являющиеся госуд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арственной или муниципальной собственностью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Освобождение граждан от начисления пени, штрафов, неустойки, иных санкций за просрочку платежей по договорам купли-продажи жилых помещений, находящихся в залоге автономного округа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highlight w:val="none"/>
              </w:rPr>
              <w:t xml:space="preserve">Предоставление бесплатно во внеочередном порядке земельных участков для индивидуального жилищного строительства.</w:t>
            </w:r>
            <w:r>
              <w:rPr>
                <w:sz w:val="28"/>
                <w:szCs w:val="28"/>
              </w:rPr>
            </w:r>
            <w:r/>
          </w:p>
          <w:p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Вправе граждане, нуждающиеся в улучшении жилищных условий и не имеющие в собственности земельных участков для индивидуального жилищного строительства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мера поддержки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Переселение в первоочередном порядке из жилых помещений, расположенных в жилых домах, признанных аварийными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редоставление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 субсидии гражданам, состоящим на учете в качестве нуждающихся в жилых помещениях, предоставляемых по договорам социального найма, на приобретение (строительство) жилых помещений в собственность, в порядке и на условиях, установленных органами м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естного самоуправления муниципальных образований автономного округа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размер индивидуален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Включение в первоочередном порядке в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писок участников мероприятия «Обеспечение жильем граждан из числа коренных малочисленных народов Ханты-Мансийского автономного округа – Югры, признанных до 31 декабря 2014 года участниками подпрограмм» государственной программы автономного округа «Развити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е жилищной сферы», изъявивших желание получить субсидию в текущем году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highlight w:val="none"/>
                <w14:ligatures w14:val="none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Единовременная помощь при во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зникновении экстремальной жизненной ситуации при 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необходимости в медицинской пом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ощи и мероприятиях реабилитации участниками специальной военной операции, получившими при выполнении задач в ходе ее проведения увечье (ранение, травму контузию) тяжелой степени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250 000 рублей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Предоставление двухразового питания в учебное время по месту нахождения образовательной организации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льгота в натуральном выражении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  <w:tr>
        <w:trPr/>
        <w:tc>
          <w:tcPr>
            <w:tcW w:w="11622" w:type="dxa"/>
            <w:vMerge w:val="restart"/>
            <w:textDirection w:val="lrTb"/>
            <w:noWrap w:val="false"/>
          </w:tcPr>
          <w:p>
            <w:pPr>
              <w:ind w:left="0" w:right="0" w:firstLine="0"/>
              <w:spacing w:before="0" w:after="0" w:line="288" w:lineRule="atLeast"/>
              <w:rPr>
                <w:sz w:val="28"/>
                <w:szCs w:val="28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Компенсация части родительской платы за присмотр и уход за детьми в организациях, осуществляющих образовательную деятельность по реализации образовательной программы дошкольного образования</w:t>
            </w:r>
            <w:r>
              <w:rPr>
                <w:sz w:val="28"/>
                <w:szCs w:val="28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размере расходов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r>
            <w:r/>
          </w:p>
        </w:tc>
      </w:tr>
    </w:tbl>
    <w:p>
      <w:pPr>
        <w:ind w:firstLine="708"/>
        <w:jc w:val="both"/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/>
    </w:p>
    <w:p>
      <w:pPr>
        <w:ind w:firstLine="708"/>
        <w:jc w:val="both"/>
        <w:rPr>
          <w:rFonts w:ascii="Times New Roman" w:hAnsi="Times New Roman" w:eastAsia="Times New Roman" w:cs="Times New Roman"/>
          <w:color w:val="000000"/>
          <w:highlight w:val="none"/>
        </w:rPr>
      </w:pPr>
      <w:r>
        <w:rPr>
          <w:bCs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При возникновении дополнительных вопросов о порядке и условиях предоставления мер социальной поддержки, социальных услуг можно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обратиться по бесплатному номеру горячей линии «Контакт-центр»:</w:t>
        <w:br/>
        <w:t xml:space="preserve">8 800 301 44 43.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Звонки принимаются с понедельника по субботу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с 09-00 до 19-00 (без перерыва).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/>
    </w:p>
    <w:sectPr>
      <w:headerReference w:type="default" r:id="rId9"/>
      <w:headerReference w:type="first" r:id="rId10"/>
      <w:footerReference w:type="first" r:id="rId11"/>
      <w:footnotePr/>
      <w:endnotePr/>
      <w:type w:val="nextPage"/>
      <w:pgSz w:w="16838" w:h="11906" w:orient="landscape"/>
      <w:pgMar w:top="851" w:right="1134" w:bottom="850" w:left="1134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08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06"/>
      <w:jc w:val="center"/>
      <w:rPr>
        <w:rFonts w:ascii="Times New Roman" w:hAnsi="Times New Roman" w:cs="Times New Roman"/>
        <w:sz w:val="28"/>
        <w:szCs w:val="28"/>
      </w:rPr>
    </w:pPr>
    <w:fldSimple w:instr="PAGE \* MERGEFORMAT">
      <w:r>
        <w:rPr>
          <w:rFonts w:ascii="Times New Roman" w:hAnsi="Times New Roman" w:cs="Times New Roman"/>
          <w:sz w:val="28"/>
          <w:szCs w:val="28"/>
        </w:rPr>
        <w:t xml:space="preserve">1</w:t>
      </w:r>
    </w:fldSimple>
    <w:r>
      <w:rPr>
        <w:rFonts w:ascii="Times New Roman" w:hAnsi="Times New Roman" w:cs="Times New Roman"/>
        <w:sz w:val="28"/>
        <w:szCs w:val="28"/>
      </w:rPr>
    </w:r>
    <w:r>
      <w:rPr>
        <w:rFonts w:ascii="Times New Roman" w:hAnsi="Times New Roman" w:cs="Times New Roman"/>
        <w:sz w:val="28"/>
        <w:szCs w:val="28"/>
      </w:rPr>
    </w:r>
    <w:r/>
  </w:p>
  <w:p>
    <w:pPr>
      <w:pStyle w:val="706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0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8">
    <w:name w:val="Heading 1"/>
    <w:basedOn w:val="855"/>
    <w:next w:val="855"/>
    <w:link w:val="67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9">
    <w:name w:val="Heading 1 Char"/>
    <w:basedOn w:val="856"/>
    <w:link w:val="678"/>
    <w:uiPriority w:val="9"/>
    <w:rPr>
      <w:rFonts w:ascii="Arial" w:hAnsi="Arial" w:eastAsia="Arial" w:cs="Arial"/>
      <w:sz w:val="40"/>
      <w:szCs w:val="40"/>
    </w:rPr>
  </w:style>
  <w:style w:type="paragraph" w:styleId="680">
    <w:name w:val="Heading 2"/>
    <w:basedOn w:val="855"/>
    <w:next w:val="855"/>
    <w:link w:val="68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1">
    <w:name w:val="Heading 2 Char"/>
    <w:basedOn w:val="856"/>
    <w:link w:val="680"/>
    <w:uiPriority w:val="9"/>
    <w:rPr>
      <w:rFonts w:ascii="Arial" w:hAnsi="Arial" w:eastAsia="Arial" w:cs="Arial"/>
      <w:sz w:val="34"/>
    </w:rPr>
  </w:style>
  <w:style w:type="paragraph" w:styleId="682">
    <w:name w:val="Heading 3"/>
    <w:basedOn w:val="855"/>
    <w:next w:val="855"/>
    <w:link w:val="68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3">
    <w:name w:val="Heading 3 Char"/>
    <w:basedOn w:val="856"/>
    <w:link w:val="682"/>
    <w:uiPriority w:val="9"/>
    <w:rPr>
      <w:rFonts w:ascii="Arial" w:hAnsi="Arial" w:eastAsia="Arial" w:cs="Arial"/>
      <w:sz w:val="30"/>
      <w:szCs w:val="30"/>
    </w:rPr>
  </w:style>
  <w:style w:type="paragraph" w:styleId="684">
    <w:name w:val="Heading 4"/>
    <w:basedOn w:val="855"/>
    <w:next w:val="855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5">
    <w:name w:val="Heading 4 Char"/>
    <w:basedOn w:val="856"/>
    <w:link w:val="684"/>
    <w:uiPriority w:val="9"/>
    <w:rPr>
      <w:rFonts w:ascii="Arial" w:hAnsi="Arial" w:eastAsia="Arial" w:cs="Arial"/>
      <w:b/>
      <w:bCs/>
      <w:sz w:val="26"/>
      <w:szCs w:val="26"/>
    </w:rPr>
  </w:style>
  <w:style w:type="paragraph" w:styleId="686">
    <w:name w:val="Heading 5"/>
    <w:basedOn w:val="855"/>
    <w:next w:val="855"/>
    <w:link w:val="68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7">
    <w:name w:val="Heading 5 Char"/>
    <w:basedOn w:val="856"/>
    <w:link w:val="686"/>
    <w:uiPriority w:val="9"/>
    <w:rPr>
      <w:rFonts w:ascii="Arial" w:hAnsi="Arial" w:eastAsia="Arial" w:cs="Arial"/>
      <w:b/>
      <w:bCs/>
      <w:sz w:val="24"/>
      <w:szCs w:val="24"/>
    </w:rPr>
  </w:style>
  <w:style w:type="paragraph" w:styleId="688">
    <w:name w:val="Heading 6"/>
    <w:basedOn w:val="855"/>
    <w:next w:val="855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9">
    <w:name w:val="Heading 6 Char"/>
    <w:basedOn w:val="856"/>
    <w:link w:val="688"/>
    <w:uiPriority w:val="9"/>
    <w:rPr>
      <w:rFonts w:ascii="Arial" w:hAnsi="Arial" w:eastAsia="Arial" w:cs="Arial"/>
      <w:b/>
      <w:bCs/>
      <w:sz w:val="22"/>
      <w:szCs w:val="22"/>
    </w:rPr>
  </w:style>
  <w:style w:type="paragraph" w:styleId="690">
    <w:name w:val="Heading 7"/>
    <w:basedOn w:val="855"/>
    <w:next w:val="855"/>
    <w:link w:val="69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1">
    <w:name w:val="Heading 7 Char"/>
    <w:basedOn w:val="856"/>
    <w:link w:val="69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2">
    <w:name w:val="Heading 8"/>
    <w:basedOn w:val="855"/>
    <w:next w:val="855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3">
    <w:name w:val="Heading 8 Char"/>
    <w:basedOn w:val="856"/>
    <w:link w:val="692"/>
    <w:uiPriority w:val="9"/>
    <w:rPr>
      <w:rFonts w:ascii="Arial" w:hAnsi="Arial" w:eastAsia="Arial" w:cs="Arial"/>
      <w:i/>
      <w:iCs/>
      <w:sz w:val="22"/>
      <w:szCs w:val="22"/>
    </w:rPr>
  </w:style>
  <w:style w:type="paragraph" w:styleId="694">
    <w:name w:val="Heading 9"/>
    <w:basedOn w:val="855"/>
    <w:next w:val="855"/>
    <w:link w:val="69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5">
    <w:name w:val="Heading 9 Char"/>
    <w:basedOn w:val="856"/>
    <w:link w:val="694"/>
    <w:uiPriority w:val="9"/>
    <w:rPr>
      <w:rFonts w:ascii="Arial" w:hAnsi="Arial" w:eastAsia="Arial" w:cs="Arial"/>
      <w:i/>
      <w:iCs/>
      <w:sz w:val="21"/>
      <w:szCs w:val="21"/>
    </w:rPr>
  </w:style>
  <w:style w:type="paragraph" w:styleId="696">
    <w:name w:val="List Paragraph"/>
    <w:basedOn w:val="855"/>
    <w:uiPriority w:val="34"/>
    <w:qFormat/>
    <w:pPr>
      <w:contextualSpacing/>
      <w:ind w:left="720"/>
    </w:pPr>
  </w:style>
  <w:style w:type="paragraph" w:styleId="697">
    <w:name w:val="No Spacing"/>
    <w:uiPriority w:val="1"/>
    <w:qFormat/>
    <w:pPr>
      <w:spacing w:before="0" w:after="0" w:line="240" w:lineRule="auto"/>
    </w:pPr>
  </w:style>
  <w:style w:type="paragraph" w:styleId="698">
    <w:name w:val="Title"/>
    <w:basedOn w:val="855"/>
    <w:next w:val="855"/>
    <w:link w:val="69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9">
    <w:name w:val="Title Char"/>
    <w:basedOn w:val="856"/>
    <w:link w:val="698"/>
    <w:uiPriority w:val="10"/>
    <w:rPr>
      <w:sz w:val="48"/>
      <w:szCs w:val="48"/>
    </w:rPr>
  </w:style>
  <w:style w:type="paragraph" w:styleId="700">
    <w:name w:val="Subtitle"/>
    <w:basedOn w:val="855"/>
    <w:next w:val="855"/>
    <w:link w:val="701"/>
    <w:uiPriority w:val="11"/>
    <w:qFormat/>
    <w:pPr>
      <w:spacing w:before="200" w:after="200"/>
    </w:pPr>
    <w:rPr>
      <w:sz w:val="24"/>
      <w:szCs w:val="24"/>
    </w:rPr>
  </w:style>
  <w:style w:type="character" w:styleId="701">
    <w:name w:val="Subtitle Char"/>
    <w:basedOn w:val="856"/>
    <w:link w:val="700"/>
    <w:uiPriority w:val="11"/>
    <w:rPr>
      <w:sz w:val="24"/>
      <w:szCs w:val="24"/>
    </w:rPr>
  </w:style>
  <w:style w:type="paragraph" w:styleId="702">
    <w:name w:val="Quote"/>
    <w:basedOn w:val="855"/>
    <w:next w:val="855"/>
    <w:link w:val="703"/>
    <w:uiPriority w:val="29"/>
    <w:qFormat/>
    <w:pPr>
      <w:ind w:left="720" w:right="720"/>
    </w:pPr>
    <w:rPr>
      <w:i/>
    </w:rPr>
  </w:style>
  <w:style w:type="character" w:styleId="703">
    <w:name w:val="Quote Char"/>
    <w:link w:val="702"/>
    <w:uiPriority w:val="29"/>
    <w:rPr>
      <w:i/>
    </w:rPr>
  </w:style>
  <w:style w:type="paragraph" w:styleId="704">
    <w:name w:val="Intense Quote"/>
    <w:basedOn w:val="855"/>
    <w:next w:val="855"/>
    <w:link w:val="70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5">
    <w:name w:val="Intense Quote Char"/>
    <w:link w:val="704"/>
    <w:uiPriority w:val="30"/>
    <w:rPr>
      <w:i/>
    </w:rPr>
  </w:style>
  <w:style w:type="paragraph" w:styleId="706">
    <w:name w:val="Header"/>
    <w:basedOn w:val="855"/>
    <w:link w:val="70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7">
    <w:name w:val="Header Char"/>
    <w:basedOn w:val="856"/>
    <w:link w:val="706"/>
    <w:uiPriority w:val="99"/>
  </w:style>
  <w:style w:type="paragraph" w:styleId="708">
    <w:name w:val="Footer"/>
    <w:basedOn w:val="855"/>
    <w:link w:val="71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9">
    <w:name w:val="Footer Char"/>
    <w:basedOn w:val="856"/>
    <w:link w:val="708"/>
    <w:uiPriority w:val="99"/>
  </w:style>
  <w:style w:type="paragraph" w:styleId="710">
    <w:name w:val="Caption"/>
    <w:basedOn w:val="855"/>
    <w:next w:val="85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1">
    <w:name w:val="Caption Char"/>
    <w:basedOn w:val="710"/>
    <w:link w:val="708"/>
    <w:uiPriority w:val="99"/>
  </w:style>
  <w:style w:type="table" w:styleId="712">
    <w:name w:val="Table Grid Light"/>
    <w:basedOn w:val="85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3">
    <w:name w:val="Plain Table 1"/>
    <w:basedOn w:val="857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2"/>
    <w:basedOn w:val="857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5">
    <w:name w:val="Plain Table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6">
    <w:name w:val="Plain Table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Plain Table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8">
    <w:name w:val="Grid Table 1 Light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1 Light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>
    <w:name w:val="Grid Table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2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3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4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0">
    <w:name w:val="Grid Table 4 - Accent 1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1">
    <w:name w:val="Grid Table 4 - Accent 2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2">
    <w:name w:val="Grid Table 4 - Accent 3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3">
    <w:name w:val="Grid Table 4 - Accent 4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4">
    <w:name w:val="Grid Table 4 - Accent 5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5">
    <w:name w:val="Grid Table 4 - Accent 6"/>
    <w:basedOn w:val="857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6">
    <w:name w:val="Grid Table 5 Dark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7">
    <w:name w:val="Grid Table 5 Dark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49">
    <w:name w:val="Grid Table 5 Dark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50">
    <w:name w:val="Grid Table 5 Dark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52">
    <w:name w:val="Grid Table 5 Dark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53">
    <w:name w:val="Grid Table 6 Colorful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4">
    <w:name w:val="Grid Table 6 Colorful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5">
    <w:name w:val="Grid Table 6 Colorful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6">
    <w:name w:val="Grid Table 6 Colorful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7">
    <w:name w:val="Grid Table 6 Colorful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8">
    <w:name w:val="Grid Table 6 Colorful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9">
    <w:name w:val="Grid Table 6 Colorful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0">
    <w:name w:val="Grid Table 7 Colorful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7 Colorful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1 Light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5">
    <w:name w:val="List Table 2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6">
    <w:name w:val="List Table 2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7">
    <w:name w:val="List Table 2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8">
    <w:name w:val="List Table 2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9">
    <w:name w:val="List Table 2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0">
    <w:name w:val="List Table 2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1">
    <w:name w:val="List Table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3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4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5 Dark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5 Dark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2">
    <w:name w:val="List Table 6 Colorful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3">
    <w:name w:val="List Table 6 Colorful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4">
    <w:name w:val="List Table 6 Colorful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5">
    <w:name w:val="List Table 6 Colorful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6">
    <w:name w:val="List Table 6 Colorful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7">
    <w:name w:val="List Table 6 Colorful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8">
    <w:name w:val="List Table 6 Colorful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9">
    <w:name w:val="List Table 7 Colorful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0">
    <w:name w:val="List Table 7 Colorful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811">
    <w:name w:val="List Table 7 Colorful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812">
    <w:name w:val="List Table 7 Colorful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813">
    <w:name w:val="List Table 7 Colorful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814">
    <w:name w:val="List Table 7 Colorful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15">
    <w:name w:val="List Table 7 Colorful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16">
    <w:name w:val="Lined - Accent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7">
    <w:name w:val="Lined - Accent 1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18">
    <w:name w:val="Lined - Accent 2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19">
    <w:name w:val="Lined - Accent 3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0">
    <w:name w:val="Lined - Accent 4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1">
    <w:name w:val="Lined - Accent 5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2">
    <w:name w:val="Lined - Accent 6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23">
    <w:name w:val="Bordered &amp; Lined - Accent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4">
    <w:name w:val="Bordered &amp; Lined - Accent 1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25">
    <w:name w:val="Bordered &amp; Lined - Accent 2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26">
    <w:name w:val="Bordered &amp; Lined - Accent 3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27">
    <w:name w:val="Bordered &amp; Lined - Accent 4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28">
    <w:name w:val="Bordered &amp; Lined - Accent 5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29">
    <w:name w:val="Bordered &amp; Lined - Accent 6"/>
    <w:basedOn w:val="857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30">
    <w:name w:val="Bordered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1">
    <w:name w:val="Bordered - Accent 1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2">
    <w:name w:val="Bordered - Accent 2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3">
    <w:name w:val="Bordered - Accent 3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4">
    <w:name w:val="Bordered - Accent 4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5">
    <w:name w:val="Bordered - Accent 5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6">
    <w:name w:val="Bordered - Accent 6"/>
    <w:basedOn w:val="857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7">
    <w:name w:val="Hyperlink"/>
    <w:uiPriority w:val="99"/>
    <w:unhideWhenUsed/>
    <w:rPr>
      <w:color w:val="0000ff" w:themeColor="hyperlink"/>
      <w:u w:val="single"/>
    </w:rPr>
  </w:style>
  <w:style w:type="paragraph" w:styleId="838">
    <w:name w:val="footnote text"/>
    <w:basedOn w:val="855"/>
    <w:link w:val="839"/>
    <w:uiPriority w:val="99"/>
    <w:semiHidden/>
    <w:unhideWhenUsed/>
    <w:pPr>
      <w:spacing w:after="40" w:line="240" w:lineRule="auto"/>
    </w:pPr>
    <w:rPr>
      <w:sz w:val="18"/>
    </w:rPr>
  </w:style>
  <w:style w:type="character" w:styleId="839">
    <w:name w:val="Footnote Text Char"/>
    <w:link w:val="838"/>
    <w:uiPriority w:val="99"/>
    <w:rPr>
      <w:sz w:val="18"/>
    </w:rPr>
  </w:style>
  <w:style w:type="character" w:styleId="840">
    <w:name w:val="footnote reference"/>
    <w:basedOn w:val="856"/>
    <w:uiPriority w:val="99"/>
    <w:unhideWhenUsed/>
    <w:rPr>
      <w:vertAlign w:val="superscript"/>
    </w:rPr>
  </w:style>
  <w:style w:type="paragraph" w:styleId="841">
    <w:name w:val="endnote text"/>
    <w:basedOn w:val="855"/>
    <w:link w:val="842"/>
    <w:uiPriority w:val="99"/>
    <w:semiHidden/>
    <w:unhideWhenUsed/>
    <w:pPr>
      <w:spacing w:after="0" w:line="240" w:lineRule="auto"/>
    </w:pPr>
    <w:rPr>
      <w:sz w:val="20"/>
    </w:rPr>
  </w:style>
  <w:style w:type="character" w:styleId="842">
    <w:name w:val="Endnote Text Char"/>
    <w:link w:val="841"/>
    <w:uiPriority w:val="99"/>
    <w:rPr>
      <w:sz w:val="20"/>
    </w:rPr>
  </w:style>
  <w:style w:type="character" w:styleId="843">
    <w:name w:val="endnote reference"/>
    <w:basedOn w:val="856"/>
    <w:uiPriority w:val="99"/>
    <w:semiHidden/>
    <w:unhideWhenUsed/>
    <w:rPr>
      <w:vertAlign w:val="superscript"/>
    </w:rPr>
  </w:style>
  <w:style w:type="paragraph" w:styleId="844">
    <w:name w:val="toc 1"/>
    <w:basedOn w:val="855"/>
    <w:next w:val="855"/>
    <w:uiPriority w:val="39"/>
    <w:unhideWhenUsed/>
    <w:pPr>
      <w:ind w:left="0" w:right="0" w:firstLine="0"/>
      <w:spacing w:after="57"/>
    </w:pPr>
  </w:style>
  <w:style w:type="paragraph" w:styleId="845">
    <w:name w:val="toc 2"/>
    <w:basedOn w:val="855"/>
    <w:next w:val="855"/>
    <w:uiPriority w:val="39"/>
    <w:unhideWhenUsed/>
    <w:pPr>
      <w:ind w:left="283" w:right="0" w:firstLine="0"/>
      <w:spacing w:after="57"/>
    </w:pPr>
  </w:style>
  <w:style w:type="paragraph" w:styleId="846">
    <w:name w:val="toc 3"/>
    <w:basedOn w:val="855"/>
    <w:next w:val="855"/>
    <w:uiPriority w:val="39"/>
    <w:unhideWhenUsed/>
    <w:pPr>
      <w:ind w:left="567" w:right="0" w:firstLine="0"/>
      <w:spacing w:after="57"/>
    </w:pPr>
  </w:style>
  <w:style w:type="paragraph" w:styleId="847">
    <w:name w:val="toc 4"/>
    <w:basedOn w:val="855"/>
    <w:next w:val="855"/>
    <w:uiPriority w:val="39"/>
    <w:unhideWhenUsed/>
    <w:pPr>
      <w:ind w:left="850" w:right="0" w:firstLine="0"/>
      <w:spacing w:after="57"/>
    </w:pPr>
  </w:style>
  <w:style w:type="paragraph" w:styleId="848">
    <w:name w:val="toc 5"/>
    <w:basedOn w:val="855"/>
    <w:next w:val="855"/>
    <w:uiPriority w:val="39"/>
    <w:unhideWhenUsed/>
    <w:pPr>
      <w:ind w:left="1134" w:right="0" w:firstLine="0"/>
      <w:spacing w:after="57"/>
    </w:pPr>
  </w:style>
  <w:style w:type="paragraph" w:styleId="849">
    <w:name w:val="toc 6"/>
    <w:basedOn w:val="855"/>
    <w:next w:val="855"/>
    <w:uiPriority w:val="39"/>
    <w:unhideWhenUsed/>
    <w:pPr>
      <w:ind w:left="1417" w:right="0" w:firstLine="0"/>
      <w:spacing w:after="57"/>
    </w:pPr>
  </w:style>
  <w:style w:type="paragraph" w:styleId="850">
    <w:name w:val="toc 7"/>
    <w:basedOn w:val="855"/>
    <w:next w:val="855"/>
    <w:uiPriority w:val="39"/>
    <w:unhideWhenUsed/>
    <w:pPr>
      <w:ind w:left="1701" w:right="0" w:firstLine="0"/>
      <w:spacing w:after="57"/>
    </w:pPr>
  </w:style>
  <w:style w:type="paragraph" w:styleId="851">
    <w:name w:val="toc 8"/>
    <w:basedOn w:val="855"/>
    <w:next w:val="855"/>
    <w:uiPriority w:val="39"/>
    <w:unhideWhenUsed/>
    <w:pPr>
      <w:ind w:left="1984" w:right="0" w:firstLine="0"/>
      <w:spacing w:after="57"/>
    </w:pPr>
  </w:style>
  <w:style w:type="paragraph" w:styleId="852">
    <w:name w:val="toc 9"/>
    <w:basedOn w:val="855"/>
    <w:next w:val="855"/>
    <w:uiPriority w:val="39"/>
    <w:unhideWhenUsed/>
    <w:pPr>
      <w:ind w:left="2268" w:right="0" w:firstLine="0"/>
      <w:spacing w:after="57"/>
    </w:pPr>
  </w:style>
  <w:style w:type="paragraph" w:styleId="853">
    <w:name w:val="TOC Heading"/>
    <w:uiPriority w:val="39"/>
    <w:unhideWhenUsed/>
  </w:style>
  <w:style w:type="paragraph" w:styleId="854">
    <w:name w:val="table of figures"/>
    <w:basedOn w:val="855"/>
    <w:next w:val="855"/>
    <w:uiPriority w:val="99"/>
    <w:unhideWhenUsed/>
    <w:pPr>
      <w:spacing w:after="0" w:afterAutospacing="0"/>
    </w:pPr>
  </w:style>
  <w:style w:type="paragraph" w:styleId="855" w:default="1">
    <w:name w:val="Normal"/>
    <w:qFormat/>
  </w:style>
  <w:style w:type="character" w:styleId="856" w:default="1">
    <w:name w:val="Default Paragraph Font"/>
    <w:uiPriority w:val="1"/>
    <w:semiHidden/>
    <w:unhideWhenUsed/>
  </w:style>
  <w:style w:type="table" w:styleId="85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8" w:default="1">
    <w:name w:val="No List"/>
    <w:uiPriority w:val="99"/>
    <w:semiHidden/>
    <w:unhideWhenUsed/>
  </w:style>
  <w:style w:type="table" w:styleId="859">
    <w:name w:val="Table Grid"/>
    <w:basedOn w:val="857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Р7-Офис/7.3.0.0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Ивушкин Никита Павлович</dc:creator>
  <cp:keywords/>
  <dc:description/>
  <cp:revision>8</cp:revision>
  <dcterms:created xsi:type="dcterms:W3CDTF">2024-10-09T10:38:00Z</dcterms:created>
  <dcterms:modified xsi:type="dcterms:W3CDTF">2025-02-19T05:59:35Z</dcterms:modified>
</cp:coreProperties>
</file>